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100" w:line="331.2" w:lineRule="auto"/>
        <w:jc w:val="center"/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  <w:drawing>
          <wp:inline distB="114300" distT="114300" distL="114300" distR="114300">
            <wp:extent cx="2595563" cy="18114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811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100" w:line="331.2" w:lineRule="auto"/>
        <w:jc w:val="center"/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UN PUGNO DI SABBIA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Una madre e suo figlio stanno camminando sulla spiaggia.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Ad un certo punto il bambino dice: “Mamma come si fa a far durare per tanto tempo un’amicizia?”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La madre guarda il figlio sorridendo e poi gli dice: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“Raccogli un po’ di sabbia.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” 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Il bambino si china e raccoglie una manciata di sabbia finissima. 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La madre allora, sempre sorridendo: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“Ora stringi il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pugno…”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Il bambino stringe la mano attorno alla sabbia e vede che, più stringe, più la sabbia gli esce dalla mano.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Allora dice con sorpresa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“Mamma, la sabbia se ne scappa…” 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E risponde la madre: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“Lo so, caro… Ora tieni la mano completamente aperta…”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Il figlio ubbidisce, ma una folata di vento porta via parte di quella che rimane..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“Anche così non riesco a tenerla…”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E la madre, sempre sorridendo: “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Adesso raccogline un altro po’, e tienila con la mano aperta a cucchiaio… 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così.. abbastanza chiusa per custodire, e abbastanza aperta per la libertà”.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highlight w:val="white"/>
          <w:rtl w:val="0"/>
        </w:rPr>
        <w:t xml:space="preserve"> Il ragazzo riprova, e questa volta la sabbia non sfugge dalla mano, ed è protetta dal vento.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highlight w:val="white"/>
          <w:rtl w:val="0"/>
        </w:rPr>
        <w:t xml:space="preserve">“Ecco come far durare un’amicizia…”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